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93E" w:rsidRDefault="00DC593E" w:rsidP="00DC593E">
      <w:pPr>
        <w:rPr>
          <w:lang w:val="es-MX"/>
        </w:rPr>
      </w:pPr>
    </w:p>
    <w:p w:rsidR="00F17E77" w:rsidRDefault="00F17E77" w:rsidP="00DC593E">
      <w:pPr>
        <w:jc w:val="center"/>
        <w:rPr>
          <w:b/>
          <w:lang w:val="es-MX"/>
        </w:rPr>
      </w:pP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c)</w:t>
      </w:r>
    </w:p>
    <w:p w:rsidR="003B68DB" w:rsidRDefault="003B68DB" w:rsidP="00DC593E">
      <w:pPr>
        <w:jc w:val="center"/>
        <w:rPr>
          <w:b/>
          <w:lang w:val="es-MX"/>
        </w:rPr>
      </w:pPr>
      <w:r>
        <w:rPr>
          <w:i/>
          <w:iCs/>
        </w:rPr>
        <w:t>Causas de los incumplimientos de las metas, en caso de existir</w:t>
      </w:r>
      <w:r w:rsidR="00373E1B">
        <w:rPr>
          <w:i/>
          <w:iCs/>
        </w:rPr>
        <w:t>.</w:t>
      </w:r>
    </w:p>
    <w:p w:rsidR="00DC593E" w:rsidRDefault="00DC593E" w:rsidP="00DC593E">
      <w:pPr>
        <w:jc w:val="center"/>
        <w:rPr>
          <w:b/>
          <w:lang w:val="es-MX"/>
        </w:rPr>
      </w:pP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Repartición/Organismo:   </w:t>
      </w:r>
      <w:r w:rsidR="00BC2296">
        <w:rPr>
          <w:b/>
          <w:lang w:val="es-MX"/>
        </w:rPr>
        <w:t>Ministerio Público Fiscal</w:t>
      </w: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AA4E39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AA4E39">
        <w:rPr>
          <w:b/>
          <w:lang w:val="es-MX"/>
        </w:rPr>
        <w:t xml:space="preserve">, Jurisdicción </w:t>
      </w:r>
      <w:r>
        <w:rPr>
          <w:b/>
          <w:lang w:val="es-MX"/>
        </w:rPr>
        <w:t>02</w:t>
      </w:r>
      <w:r w:rsidR="00BC2296">
        <w:rPr>
          <w:b/>
          <w:lang w:val="es-MX"/>
        </w:rPr>
        <w:t>, UO 02</w:t>
      </w:r>
    </w:p>
    <w:p w:rsidR="00DC593E" w:rsidRDefault="00805629" w:rsidP="00AA4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Ejercicio:   2.01</w:t>
      </w:r>
      <w:r w:rsidR="007271BD">
        <w:rPr>
          <w:b/>
          <w:lang w:val="es-MX"/>
        </w:rPr>
        <w:t>9</w:t>
      </w:r>
      <w:r w:rsidR="00DC593E">
        <w:rPr>
          <w:b/>
          <w:lang w:val="es-MX"/>
        </w:rPr>
        <w:t xml:space="preserve">                                                      Trimestre: </w:t>
      </w:r>
      <w:r w:rsidR="007271BD">
        <w:rPr>
          <w:b/>
          <w:lang w:val="es-MX"/>
        </w:rPr>
        <w:t>PRIMERO</w:t>
      </w:r>
    </w:p>
    <w:p w:rsidR="00466B53" w:rsidRPr="00466B53" w:rsidRDefault="00466B53" w:rsidP="00466B53">
      <w:pPr>
        <w:tabs>
          <w:tab w:val="left" w:pos="4680"/>
        </w:tabs>
        <w:spacing w:line="360" w:lineRule="auto"/>
        <w:ind w:left="720"/>
        <w:jc w:val="both"/>
      </w:pPr>
    </w:p>
    <w:p w:rsidR="00DC593E" w:rsidRDefault="00DC593E" w:rsidP="00367FC1">
      <w:pPr>
        <w:tabs>
          <w:tab w:val="left" w:pos="4680"/>
        </w:tabs>
        <w:spacing w:line="360" w:lineRule="auto"/>
        <w:ind w:left="720"/>
        <w:jc w:val="both"/>
        <w:rPr>
          <w:b/>
          <w:bCs/>
        </w:rPr>
      </w:pPr>
      <w:r>
        <w:rPr>
          <w:lang w:val="es-MX"/>
        </w:rPr>
        <w:t>“</w:t>
      </w:r>
      <w:r>
        <w:rPr>
          <w:b/>
          <w:bCs/>
        </w:rPr>
        <w:t>Información Artículo 27 Ley 7.314 y 5°</w:t>
      </w:r>
      <w:r w:rsidR="00D87424">
        <w:rPr>
          <w:b/>
          <w:bCs/>
        </w:rPr>
        <w:t xml:space="preserve">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373E1B" w:rsidRPr="001A1E1F" w:rsidRDefault="00373E1B" w:rsidP="00367FC1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 xml:space="preserve">RECURSOS CORRIENTES: </w:t>
      </w:r>
    </w:p>
    <w:p w:rsidR="00373E1B" w:rsidRDefault="00DC593E" w:rsidP="004A4BA1">
      <w:pPr>
        <w:tabs>
          <w:tab w:val="left" w:pos="4680"/>
        </w:tabs>
        <w:spacing w:line="360" w:lineRule="auto"/>
        <w:ind w:left="720"/>
        <w:jc w:val="both"/>
      </w:pPr>
      <w:r>
        <w:t xml:space="preserve">La </w:t>
      </w:r>
      <w:r w:rsidR="00F9752B">
        <w:t xml:space="preserve">recaudación al fin del trimestre </w:t>
      </w:r>
      <w:r w:rsidR="00373E1B">
        <w:t>representa el 66,5% de lo programado, viéndose influenciada por la escasa actividad del mes de enero 2019 en virtud de la feria judicial. Este alcance no resulta extraño para todo primer trimestre en cada ejercicio anual.</w:t>
      </w:r>
    </w:p>
    <w:p w:rsidR="0083081D" w:rsidRDefault="00373E1B" w:rsidP="004A4BA1">
      <w:pPr>
        <w:tabs>
          <w:tab w:val="left" w:pos="4680"/>
        </w:tabs>
        <w:spacing w:line="360" w:lineRule="auto"/>
        <w:ind w:left="720"/>
        <w:jc w:val="both"/>
      </w:pPr>
      <w:r>
        <w:t>Se incluye</w:t>
      </w:r>
      <w:r w:rsidR="004A4BA1">
        <w:t xml:space="preserve"> </w:t>
      </w:r>
      <w:r w:rsidR="0083081D">
        <w:t>en el comparativo</w:t>
      </w:r>
      <w:r w:rsidR="00F9752B">
        <w:t xml:space="preserve"> –anexo 4-</w:t>
      </w:r>
      <w:r w:rsidR="0083081D">
        <w:t>, la recaudación proveniente de la tasa de justicia a través del CUC 906. De esta manera, se logra aproximación al criterio de exposición de la planificación.</w:t>
      </w:r>
    </w:p>
    <w:p w:rsidR="0083081D" w:rsidRDefault="0083081D" w:rsidP="00DC593E">
      <w:pPr>
        <w:tabs>
          <w:tab w:val="left" w:pos="4680"/>
        </w:tabs>
        <w:spacing w:line="360" w:lineRule="auto"/>
        <w:ind w:left="720"/>
        <w:jc w:val="both"/>
      </w:pPr>
    </w:p>
    <w:p w:rsidR="00373E1B" w:rsidRDefault="00DC593E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>
        <w:rPr>
          <w:lang w:val="es-MX"/>
        </w:rPr>
        <w:t>GASTOS CORRIENTES</w:t>
      </w:r>
      <w:r w:rsidR="00373E1B">
        <w:rPr>
          <w:lang w:val="es-MX"/>
        </w:rPr>
        <w:t>:</w:t>
      </w:r>
    </w:p>
    <w:p w:rsidR="00373E1B" w:rsidRDefault="00373E1B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>
        <w:rPr>
          <w:lang w:val="es-MX"/>
        </w:rPr>
        <w:t xml:space="preserve">Se han ejecutado en un 99,33% respecto de lo programado. No obstante, los incrementos salariales </w:t>
      </w:r>
      <w:r w:rsidR="007A3CB2">
        <w:rPr>
          <w:lang w:val="es-MX"/>
        </w:rPr>
        <w:t>futuros hacen prever un posible desfasaje que incremente el gasto.</w:t>
      </w:r>
    </w:p>
    <w:p w:rsidR="00DC593E" w:rsidRPr="00770ED5" w:rsidRDefault="00DC593E" w:rsidP="00B42E49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 xml:space="preserve"> </w:t>
      </w:r>
      <w:r w:rsidR="00074A0C">
        <w:rPr>
          <w:lang w:val="es-MX"/>
        </w:rPr>
        <w:t>GASTOS</w:t>
      </w:r>
      <w:r>
        <w:rPr>
          <w:lang w:val="es-MX"/>
        </w:rPr>
        <w:t xml:space="preserve"> DE CAPITAL: </w:t>
      </w:r>
    </w:p>
    <w:p w:rsidR="00074A0C" w:rsidRDefault="00DC593E" w:rsidP="00074A0C">
      <w:pPr>
        <w:tabs>
          <w:tab w:val="left" w:pos="4680"/>
        </w:tabs>
        <w:spacing w:line="360" w:lineRule="auto"/>
        <w:ind w:left="720"/>
        <w:jc w:val="both"/>
      </w:pPr>
      <w:r>
        <w:t xml:space="preserve">Las erogaciones corrientes </w:t>
      </w:r>
      <w:r w:rsidR="00074A0C">
        <w:t>alcanzan un 52,4% del</w:t>
      </w:r>
      <w:r w:rsidR="00AD7296">
        <w:t xml:space="preserve"> </w:t>
      </w:r>
      <w:r w:rsidR="00124960">
        <w:t>nivel programado</w:t>
      </w:r>
      <w:r w:rsidR="00F9752B">
        <w:t>,</w:t>
      </w:r>
      <w:r w:rsidR="00106118">
        <w:t xml:space="preserve"> </w:t>
      </w:r>
      <w:r w:rsidR="00074A0C">
        <w:t xml:space="preserve">esto es en virtud de ajustar las decisiones al nivel de recaudación. Se considera que tal criterio es el </w:t>
      </w:r>
      <w:proofErr w:type="spellStart"/>
      <w:proofErr w:type="gramStart"/>
      <w:r w:rsidR="00074A0C">
        <w:t>mas</w:t>
      </w:r>
      <w:proofErr w:type="spellEnd"/>
      <w:proofErr w:type="gramEnd"/>
      <w:r w:rsidR="00074A0C">
        <w:t xml:space="preserve"> razonable dada </w:t>
      </w:r>
      <w:r w:rsidR="00106118">
        <w:t>la situación financiera general del mercado.</w:t>
      </w:r>
      <w:r w:rsidR="00427345">
        <w:t xml:space="preserve"> </w:t>
      </w:r>
    </w:p>
    <w:p w:rsidR="00106118" w:rsidRDefault="00106118" w:rsidP="006C45E5">
      <w:pPr>
        <w:tabs>
          <w:tab w:val="left" w:pos="4680"/>
        </w:tabs>
        <w:spacing w:line="360" w:lineRule="auto"/>
        <w:ind w:left="720"/>
        <w:jc w:val="both"/>
      </w:pPr>
      <w:r>
        <w:t xml:space="preserve">La </w:t>
      </w:r>
      <w:r w:rsidR="003412BA">
        <w:t>fluctuación</w:t>
      </w:r>
      <w:r>
        <w:t xml:space="preserve"> cambiaria </w:t>
      </w:r>
      <w:r w:rsidR="00074A0C">
        <w:t xml:space="preserve">también </w:t>
      </w:r>
      <w:r w:rsidR="003412BA">
        <w:t>condiciona</w:t>
      </w:r>
      <w:r>
        <w:t xml:space="preserve"> las decisiones.</w:t>
      </w:r>
    </w:p>
    <w:p w:rsidR="00DC593E" w:rsidRDefault="00DC593E" w:rsidP="00DC593E">
      <w:pPr>
        <w:tabs>
          <w:tab w:val="left" w:pos="4680"/>
        </w:tabs>
        <w:spacing w:line="360" w:lineRule="auto"/>
        <w:ind w:left="360"/>
        <w:jc w:val="both"/>
      </w:pPr>
    </w:p>
    <w:p w:rsidR="00B42E49" w:rsidRDefault="00B42E49" w:rsidP="00DC593E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SERVICIO ADMINISTRATIVO FINANCIERO –MIN. PUBLICO FISCAL-</w:t>
      </w:r>
    </w:p>
    <w:p w:rsidR="00DC593E" w:rsidRDefault="00DC593E" w:rsidP="00DC593E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 w:rsidR="00243420">
        <w:rPr>
          <w:rFonts w:ascii="Arial" w:hAnsi="Arial" w:cs="Arial"/>
          <w:b/>
          <w:bCs/>
          <w:sz w:val="16"/>
          <w:szCs w:val="16"/>
        </w:rPr>
        <w:t xml:space="preserve"> </w:t>
      </w:r>
      <w:bookmarkStart w:id="0" w:name="_GoBack"/>
      <w:bookmarkEnd w:id="0"/>
      <w:r w:rsidR="00074A0C">
        <w:rPr>
          <w:rFonts w:ascii="Arial" w:hAnsi="Arial" w:cs="Arial"/>
          <w:b/>
          <w:bCs/>
          <w:sz w:val="16"/>
          <w:szCs w:val="16"/>
        </w:rPr>
        <w:t>mayo de 2019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sectPr w:rsidR="00DC593E" w:rsidSect="0021791B">
      <w:headerReference w:type="default" r:id="rId7"/>
      <w:pgSz w:w="12242" w:h="20163" w:code="5"/>
      <w:pgMar w:top="1418" w:right="1701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CB2" w:rsidRDefault="007A3CB2" w:rsidP="002730C9">
      <w:r>
        <w:separator/>
      </w:r>
    </w:p>
  </w:endnote>
  <w:endnote w:type="continuationSeparator" w:id="0">
    <w:p w:rsidR="007A3CB2" w:rsidRDefault="007A3CB2" w:rsidP="00273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CB2" w:rsidRDefault="007A3CB2" w:rsidP="002730C9">
      <w:r>
        <w:separator/>
      </w:r>
    </w:p>
  </w:footnote>
  <w:footnote w:type="continuationSeparator" w:id="0">
    <w:p w:rsidR="007A3CB2" w:rsidRDefault="007A3CB2" w:rsidP="00273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CB2" w:rsidRDefault="007A3CB2" w:rsidP="002730C9">
    <w:pPr>
      <w:pStyle w:val="Encabezado"/>
      <w:jc w:val="center"/>
    </w:pPr>
  </w:p>
  <w:p w:rsidR="007A3CB2" w:rsidRDefault="007A3CB2" w:rsidP="00F17E77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1526540" cy="828026"/>
          <wp:effectExtent l="19050" t="0" r="0" b="0"/>
          <wp:docPr id="2" name="1 Imagen" descr="logoMPF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PF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7760" cy="8286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1028D"/>
    <w:multiLevelType w:val="hybridMultilevel"/>
    <w:tmpl w:val="225EFBB0"/>
    <w:lvl w:ilvl="0" w:tplc="62FA6AA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642692"/>
    <w:multiLevelType w:val="hybridMultilevel"/>
    <w:tmpl w:val="C00E5D8E"/>
    <w:lvl w:ilvl="0" w:tplc="E6A860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DC593E"/>
    <w:rsid w:val="000336E7"/>
    <w:rsid w:val="00035C84"/>
    <w:rsid w:val="00074A0C"/>
    <w:rsid w:val="000812C0"/>
    <w:rsid w:val="000946A3"/>
    <w:rsid w:val="000C5CB0"/>
    <w:rsid w:val="001040DA"/>
    <w:rsid w:val="00106118"/>
    <w:rsid w:val="00124960"/>
    <w:rsid w:val="00141BB6"/>
    <w:rsid w:val="001611AA"/>
    <w:rsid w:val="001E26CE"/>
    <w:rsid w:val="002009DF"/>
    <w:rsid w:val="00212D2A"/>
    <w:rsid w:val="0021791B"/>
    <w:rsid w:val="00243420"/>
    <w:rsid w:val="002730C9"/>
    <w:rsid w:val="002756E3"/>
    <w:rsid w:val="00294F34"/>
    <w:rsid w:val="002A57D6"/>
    <w:rsid w:val="00302A41"/>
    <w:rsid w:val="003412BA"/>
    <w:rsid w:val="00366D2C"/>
    <w:rsid w:val="00367FC1"/>
    <w:rsid w:val="00372FA2"/>
    <w:rsid w:val="00373E1B"/>
    <w:rsid w:val="003824B6"/>
    <w:rsid w:val="0039581A"/>
    <w:rsid w:val="003B68DB"/>
    <w:rsid w:val="003E5AAD"/>
    <w:rsid w:val="004254A9"/>
    <w:rsid w:val="00425F74"/>
    <w:rsid w:val="00427345"/>
    <w:rsid w:val="0044698E"/>
    <w:rsid w:val="004577EA"/>
    <w:rsid w:val="00466B53"/>
    <w:rsid w:val="00474596"/>
    <w:rsid w:val="004A4BA1"/>
    <w:rsid w:val="004D252F"/>
    <w:rsid w:val="005F2264"/>
    <w:rsid w:val="006A0EFA"/>
    <w:rsid w:val="006C45E5"/>
    <w:rsid w:val="006C5EA0"/>
    <w:rsid w:val="006D3DE3"/>
    <w:rsid w:val="006F3A9F"/>
    <w:rsid w:val="006F483C"/>
    <w:rsid w:val="007271BD"/>
    <w:rsid w:val="00771896"/>
    <w:rsid w:val="00775FA5"/>
    <w:rsid w:val="007A3CB2"/>
    <w:rsid w:val="00801C4D"/>
    <w:rsid w:val="00805629"/>
    <w:rsid w:val="0083081D"/>
    <w:rsid w:val="00844C40"/>
    <w:rsid w:val="00881102"/>
    <w:rsid w:val="008D4E01"/>
    <w:rsid w:val="008E0989"/>
    <w:rsid w:val="008E3E23"/>
    <w:rsid w:val="00903E33"/>
    <w:rsid w:val="00A019D1"/>
    <w:rsid w:val="00AA4856"/>
    <w:rsid w:val="00AA4E39"/>
    <w:rsid w:val="00AD7296"/>
    <w:rsid w:val="00B0073B"/>
    <w:rsid w:val="00B42E49"/>
    <w:rsid w:val="00B507E4"/>
    <w:rsid w:val="00B945CB"/>
    <w:rsid w:val="00B94E68"/>
    <w:rsid w:val="00BA6B6D"/>
    <w:rsid w:val="00BC2296"/>
    <w:rsid w:val="00BF4894"/>
    <w:rsid w:val="00CA46A1"/>
    <w:rsid w:val="00CB335D"/>
    <w:rsid w:val="00CC0DF7"/>
    <w:rsid w:val="00CE4204"/>
    <w:rsid w:val="00D339E9"/>
    <w:rsid w:val="00D4052A"/>
    <w:rsid w:val="00D867A9"/>
    <w:rsid w:val="00D87424"/>
    <w:rsid w:val="00DC593E"/>
    <w:rsid w:val="00E119C3"/>
    <w:rsid w:val="00E138D2"/>
    <w:rsid w:val="00E37399"/>
    <w:rsid w:val="00E90A56"/>
    <w:rsid w:val="00EA7394"/>
    <w:rsid w:val="00EB4FF9"/>
    <w:rsid w:val="00EC08DC"/>
    <w:rsid w:val="00F17E77"/>
    <w:rsid w:val="00F355BC"/>
    <w:rsid w:val="00F54483"/>
    <w:rsid w:val="00F773FB"/>
    <w:rsid w:val="00F9752B"/>
    <w:rsid w:val="00FD2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BC22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BC22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222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cp:lastPrinted>2018-12-03T13:20:00Z</cp:lastPrinted>
  <dcterms:created xsi:type="dcterms:W3CDTF">2019-05-13T15:02:00Z</dcterms:created>
  <dcterms:modified xsi:type="dcterms:W3CDTF">2019-05-13T15:40:00Z</dcterms:modified>
</cp:coreProperties>
</file>